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77047" w:rsidRDefault="00477047" w:rsidP="00477047">
                            <w:pPr>
                              <w:spacing w:after="0" w:line="240" w:lineRule="auto"/>
                              <w:jc w:val="center"/>
                              <w:outlineLvl w:val="0"/>
                              <w:rPr>
                                <w:rFonts w:cstheme="minorHAnsi"/>
                                <w:color w:val="000000"/>
                                <w:sz w:val="44"/>
                                <w:szCs w:val="44"/>
                              </w:rPr>
                            </w:pPr>
                            <w:r>
                              <w:rPr>
                                <w:rFonts w:cstheme="minorHAnsi"/>
                                <w:color w:val="000000"/>
                                <w:sz w:val="44"/>
                                <w:szCs w:val="44"/>
                              </w:rPr>
                              <w:t>36</w:t>
                            </w:r>
                            <w:r>
                              <w:rPr>
                                <w:rFonts w:cstheme="minorHAnsi"/>
                                <w:color w:val="000000"/>
                                <w:sz w:val="44"/>
                                <w:szCs w:val="44"/>
                                <w:vertAlign w:val="superscript"/>
                              </w:rPr>
                              <w:t>th</w:t>
                            </w:r>
                            <w:r>
                              <w:rPr>
                                <w:rFonts w:cstheme="minorHAnsi"/>
                                <w:color w:val="000000"/>
                                <w:sz w:val="44"/>
                                <w:szCs w:val="44"/>
                              </w:rPr>
                              <w:t xml:space="preserve"> Pediatric Infectious Diseases Update</w:t>
                            </w:r>
                          </w:p>
                          <w:p w:rsidR="00477047" w:rsidRDefault="00477047" w:rsidP="00477047">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477047" w:rsidRDefault="00477047" w:rsidP="00477047">
                            <w:pPr>
                              <w:spacing w:after="0" w:line="240" w:lineRule="auto"/>
                              <w:jc w:val="center"/>
                              <w:outlineLvl w:val="0"/>
                              <w:rPr>
                                <w:rFonts w:cstheme="minorHAnsi"/>
                                <w:color w:val="000000"/>
                                <w:sz w:val="44"/>
                                <w:szCs w:val="44"/>
                              </w:rPr>
                            </w:pPr>
                            <w:r>
                              <w:rPr>
                                <w:rFonts w:cstheme="minorHAnsi"/>
                                <w:color w:val="000000"/>
                                <w:sz w:val="44"/>
                                <w:szCs w:val="44"/>
                              </w:rPr>
                              <w:t xml:space="preserve">Big Cedar Lodge, </w:t>
                            </w:r>
                            <w:proofErr w:type="spellStart"/>
                            <w:r>
                              <w:rPr>
                                <w:rFonts w:cstheme="minorHAnsi"/>
                                <w:color w:val="000000"/>
                                <w:sz w:val="44"/>
                                <w:szCs w:val="44"/>
                              </w:rPr>
                              <w:t>Ridgedale</w:t>
                            </w:r>
                            <w:proofErr w:type="spellEnd"/>
                            <w:r>
                              <w:rPr>
                                <w:rFonts w:cstheme="minorHAnsi"/>
                                <w:color w:val="000000"/>
                                <w:sz w:val="44"/>
                                <w:szCs w:val="44"/>
                              </w:rPr>
                              <w:t>, MO</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477047">
                              <w:rPr>
                                <w:rFonts w:ascii="Gotham Medium" w:hAnsi="Gotham Medium" w:cstheme="minorHAnsi"/>
                                <w:color w:val="000000"/>
                                <w:sz w:val="20"/>
                                <w:szCs w:val="20"/>
                              </w:rPr>
                              <w:t>pharmacists up to 8.75 contact hours or 0.87</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77047" w:rsidRDefault="00477047" w:rsidP="00477047">
                      <w:pPr>
                        <w:spacing w:after="0" w:line="240" w:lineRule="auto"/>
                        <w:jc w:val="center"/>
                        <w:outlineLvl w:val="0"/>
                        <w:rPr>
                          <w:rFonts w:cstheme="minorHAnsi"/>
                          <w:color w:val="000000"/>
                          <w:sz w:val="44"/>
                          <w:szCs w:val="44"/>
                        </w:rPr>
                      </w:pPr>
                      <w:r>
                        <w:rPr>
                          <w:rFonts w:cstheme="minorHAnsi"/>
                          <w:color w:val="000000"/>
                          <w:sz w:val="44"/>
                          <w:szCs w:val="44"/>
                        </w:rPr>
                        <w:t>36</w:t>
                      </w:r>
                      <w:r>
                        <w:rPr>
                          <w:rFonts w:cstheme="minorHAnsi"/>
                          <w:color w:val="000000"/>
                          <w:sz w:val="44"/>
                          <w:szCs w:val="44"/>
                          <w:vertAlign w:val="superscript"/>
                        </w:rPr>
                        <w:t>th</w:t>
                      </w:r>
                      <w:r>
                        <w:rPr>
                          <w:rFonts w:cstheme="minorHAnsi"/>
                          <w:color w:val="000000"/>
                          <w:sz w:val="44"/>
                          <w:szCs w:val="44"/>
                        </w:rPr>
                        <w:t xml:space="preserve"> Pediatric Infectious Diseases Update</w:t>
                      </w:r>
                    </w:p>
                    <w:p w:rsidR="00477047" w:rsidRDefault="00477047" w:rsidP="00477047">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477047" w:rsidRDefault="00477047" w:rsidP="00477047">
                      <w:pPr>
                        <w:spacing w:after="0" w:line="240" w:lineRule="auto"/>
                        <w:jc w:val="center"/>
                        <w:outlineLvl w:val="0"/>
                        <w:rPr>
                          <w:rFonts w:cstheme="minorHAnsi"/>
                          <w:color w:val="000000"/>
                          <w:sz w:val="44"/>
                          <w:szCs w:val="44"/>
                        </w:rPr>
                      </w:pPr>
                      <w:r>
                        <w:rPr>
                          <w:rFonts w:cstheme="minorHAnsi"/>
                          <w:color w:val="000000"/>
                          <w:sz w:val="44"/>
                          <w:szCs w:val="44"/>
                        </w:rPr>
                        <w:t xml:space="preserve">Big Cedar Lodge, </w:t>
                      </w:r>
                      <w:proofErr w:type="spellStart"/>
                      <w:r>
                        <w:rPr>
                          <w:rFonts w:cstheme="minorHAnsi"/>
                          <w:color w:val="000000"/>
                          <w:sz w:val="44"/>
                          <w:szCs w:val="44"/>
                        </w:rPr>
                        <w:t>Ridgedale</w:t>
                      </w:r>
                      <w:proofErr w:type="spellEnd"/>
                      <w:r>
                        <w:rPr>
                          <w:rFonts w:cstheme="minorHAnsi"/>
                          <w:color w:val="000000"/>
                          <w:sz w:val="44"/>
                          <w:szCs w:val="44"/>
                        </w:rPr>
                        <w:t>, MO</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477047">
                        <w:rPr>
                          <w:rFonts w:ascii="Gotham Medium" w:hAnsi="Gotham Medium" w:cstheme="minorHAnsi"/>
                          <w:color w:val="000000"/>
                          <w:sz w:val="20"/>
                          <w:szCs w:val="20"/>
                        </w:rPr>
                        <w:t>pharmacists up to 8.75 contact hours or 0.87</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770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47704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77047"/>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2022-03-25T18:45:00Z</dcterms:modified>
</cp:coreProperties>
</file>